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81" w:rsidRPr="00222546" w:rsidRDefault="00A80281" w:rsidP="00222546">
      <w:pPr>
        <w:spacing w:after="0" w:line="240" w:lineRule="auto"/>
        <w:jc w:val="center"/>
        <w:rPr>
          <w:b/>
        </w:rPr>
      </w:pPr>
      <w:r w:rsidRPr="00222546">
        <w:rPr>
          <w:b/>
        </w:rPr>
        <w:t>Program Outline</w:t>
      </w:r>
    </w:p>
    <w:p w:rsidR="00A80281" w:rsidRPr="00222546" w:rsidRDefault="00A80281" w:rsidP="00222546">
      <w:pPr>
        <w:spacing w:after="0" w:line="240" w:lineRule="auto"/>
        <w:jc w:val="center"/>
        <w:rPr>
          <w:b/>
        </w:rPr>
      </w:pPr>
      <w:r w:rsidRPr="00222546">
        <w:rPr>
          <w:b/>
        </w:rPr>
        <w:t>Hoosier Hills Estate Planning Council</w:t>
      </w:r>
    </w:p>
    <w:p w:rsidR="00A80281" w:rsidRDefault="00A80281" w:rsidP="00222546">
      <w:pPr>
        <w:spacing w:after="0" w:line="240" w:lineRule="auto"/>
        <w:jc w:val="center"/>
      </w:pPr>
      <w:r w:rsidRPr="00222546">
        <w:rPr>
          <w:b/>
        </w:rPr>
        <w:t>February 16, 2012</w:t>
      </w:r>
    </w:p>
    <w:p w:rsidR="00A80281" w:rsidRDefault="00A80281" w:rsidP="00222546">
      <w:pPr>
        <w:spacing w:after="0" w:line="240" w:lineRule="auto"/>
      </w:pPr>
    </w:p>
    <w:p w:rsidR="00A80281" w:rsidRDefault="00A80281" w:rsidP="00222546">
      <w:pPr>
        <w:spacing w:after="0" w:line="240" w:lineRule="auto"/>
        <w:jc w:val="both"/>
      </w:pPr>
      <w:r w:rsidRPr="00222546">
        <w:rPr>
          <w:u w:val="single"/>
        </w:rPr>
        <w:t>Education Objective</w:t>
      </w:r>
      <w:r>
        <w:t>: Provide attendees’ insight into how courts decide valuation issues, how these decisions may financially impact the estate, and how estate planners may assist their clients in achieving their objectives. The two hour program is broken down into fifteen (15) minute increments. For each topic a certified business appraiser will provide insight from a valuation practitioner’s standpoint to be followed by Kristine Bouaichi JD who will provide legal commentary as follows:</w:t>
      </w:r>
    </w:p>
    <w:p w:rsidR="00A80281" w:rsidRDefault="00A80281" w:rsidP="00222546">
      <w:pPr>
        <w:spacing w:after="0" w:line="240" w:lineRule="auto"/>
        <w:jc w:val="both"/>
      </w:pPr>
    </w:p>
    <w:p w:rsidR="00A80281" w:rsidRDefault="00A80281" w:rsidP="00222546">
      <w:pPr>
        <w:pStyle w:val="ListParagraph"/>
        <w:numPr>
          <w:ilvl w:val="0"/>
          <w:numId w:val="1"/>
        </w:numPr>
        <w:spacing w:after="0" w:line="240" w:lineRule="auto"/>
        <w:jc w:val="both"/>
      </w:pPr>
      <w:r>
        <w:t>Introductions: (David Maschino)</w:t>
      </w:r>
    </w:p>
    <w:p w:rsidR="00A80281" w:rsidRDefault="00A80281" w:rsidP="00222546">
      <w:pPr>
        <w:pStyle w:val="ListParagraph"/>
        <w:numPr>
          <w:ilvl w:val="0"/>
          <w:numId w:val="2"/>
        </w:numPr>
        <w:spacing w:after="0" w:line="240" w:lineRule="auto"/>
        <w:jc w:val="both"/>
      </w:pPr>
      <w:r>
        <w:t>Agenda</w:t>
      </w:r>
    </w:p>
    <w:p w:rsidR="00A80281" w:rsidRDefault="00A80281" w:rsidP="00222546">
      <w:pPr>
        <w:pStyle w:val="ListParagraph"/>
        <w:numPr>
          <w:ilvl w:val="0"/>
          <w:numId w:val="2"/>
        </w:numPr>
        <w:spacing w:after="0" w:line="240" w:lineRule="auto"/>
        <w:jc w:val="both"/>
      </w:pPr>
      <w:r>
        <w:t>Applicable Standard of Value</w:t>
      </w:r>
    </w:p>
    <w:p w:rsidR="00A80281" w:rsidRDefault="00A80281" w:rsidP="00222546">
      <w:pPr>
        <w:pStyle w:val="ListParagraph"/>
        <w:numPr>
          <w:ilvl w:val="0"/>
          <w:numId w:val="2"/>
        </w:numPr>
        <w:spacing w:after="0" w:line="240" w:lineRule="auto"/>
        <w:jc w:val="both"/>
      </w:pPr>
      <w:r>
        <w:t>Levels of Value</w:t>
      </w:r>
    </w:p>
    <w:p w:rsidR="00A80281" w:rsidRDefault="00A80281" w:rsidP="000026C5">
      <w:pPr>
        <w:pStyle w:val="ListParagraph"/>
        <w:numPr>
          <w:ilvl w:val="0"/>
          <w:numId w:val="2"/>
        </w:numPr>
        <w:spacing w:after="0" w:line="240" w:lineRule="auto"/>
        <w:jc w:val="both"/>
      </w:pPr>
      <w:r>
        <w:t>Estate of Giustina et al. v. Commissioner: (John Kotlarczyk)</w:t>
      </w:r>
    </w:p>
    <w:p w:rsidR="00A80281" w:rsidRDefault="00A80281" w:rsidP="001E5431">
      <w:pPr>
        <w:pStyle w:val="ListParagraph"/>
        <w:numPr>
          <w:ilvl w:val="0"/>
          <w:numId w:val="6"/>
        </w:numPr>
        <w:spacing w:after="0" w:line="240" w:lineRule="auto"/>
        <w:jc w:val="both"/>
      </w:pPr>
      <w:r>
        <w:t>Valuation Issues and holding</w:t>
      </w:r>
    </w:p>
    <w:p w:rsidR="00A80281" w:rsidRDefault="00A80281" w:rsidP="001E5431">
      <w:pPr>
        <w:pStyle w:val="ListParagraph"/>
        <w:numPr>
          <w:ilvl w:val="0"/>
          <w:numId w:val="6"/>
        </w:numPr>
        <w:spacing w:after="0" w:line="240" w:lineRule="auto"/>
        <w:jc w:val="both"/>
      </w:pPr>
      <w:r>
        <w:t>Sec. 6662 Penalty</w:t>
      </w:r>
    </w:p>
    <w:p w:rsidR="00A80281" w:rsidRDefault="00A80281" w:rsidP="001E5431">
      <w:pPr>
        <w:pStyle w:val="ListParagraph"/>
        <w:numPr>
          <w:ilvl w:val="0"/>
          <w:numId w:val="6"/>
        </w:numPr>
        <w:spacing w:after="0" w:line="240" w:lineRule="auto"/>
        <w:jc w:val="both"/>
      </w:pPr>
      <w:r>
        <w:t>Good faith and Avoidance</w:t>
      </w:r>
    </w:p>
    <w:p w:rsidR="00A80281" w:rsidRDefault="00A80281" w:rsidP="00D2151D">
      <w:pPr>
        <w:pStyle w:val="ListParagraph"/>
        <w:spacing w:after="0" w:line="240" w:lineRule="auto"/>
        <w:ind w:left="1440"/>
        <w:jc w:val="both"/>
      </w:pPr>
    </w:p>
    <w:p w:rsidR="00A80281" w:rsidRDefault="00A80281" w:rsidP="00D2151D">
      <w:pPr>
        <w:pStyle w:val="ListParagraph"/>
        <w:numPr>
          <w:ilvl w:val="0"/>
          <w:numId w:val="1"/>
        </w:numPr>
        <w:spacing w:after="0" w:line="240" w:lineRule="auto"/>
        <w:jc w:val="both"/>
      </w:pPr>
      <w:r>
        <w:t>Estate of Gallagher (Bradley Minor)</w:t>
      </w:r>
    </w:p>
    <w:p w:rsidR="00A80281" w:rsidRDefault="00A80281" w:rsidP="00D2151D">
      <w:pPr>
        <w:pStyle w:val="ListParagraph"/>
        <w:numPr>
          <w:ilvl w:val="0"/>
          <w:numId w:val="7"/>
        </w:numPr>
        <w:spacing w:after="0" w:line="240" w:lineRule="auto"/>
        <w:jc w:val="both"/>
      </w:pPr>
      <w:r>
        <w:t>Valuation Issues and holding</w:t>
      </w:r>
    </w:p>
    <w:p w:rsidR="00A80281" w:rsidRDefault="00A80281" w:rsidP="00D2151D">
      <w:pPr>
        <w:pStyle w:val="ListParagraph"/>
        <w:numPr>
          <w:ilvl w:val="0"/>
          <w:numId w:val="7"/>
        </w:numPr>
        <w:spacing w:after="0" w:line="240" w:lineRule="auto"/>
        <w:jc w:val="both"/>
      </w:pPr>
      <w:r>
        <w:t>Why court rejected both parties appraisals</w:t>
      </w:r>
    </w:p>
    <w:p w:rsidR="00A80281" w:rsidRDefault="00A80281" w:rsidP="00D2151D">
      <w:pPr>
        <w:pStyle w:val="ListParagraph"/>
        <w:numPr>
          <w:ilvl w:val="0"/>
          <w:numId w:val="7"/>
        </w:numPr>
        <w:spacing w:after="0" w:line="240" w:lineRule="auto"/>
        <w:jc w:val="both"/>
      </w:pPr>
      <w:r>
        <w:t>Valuation Methods and courts criticism</w:t>
      </w:r>
    </w:p>
    <w:p w:rsidR="00A80281" w:rsidRDefault="00A80281" w:rsidP="00D2151D">
      <w:pPr>
        <w:pStyle w:val="ListParagraph"/>
        <w:numPr>
          <w:ilvl w:val="0"/>
          <w:numId w:val="7"/>
        </w:numPr>
        <w:spacing w:after="0" w:line="240" w:lineRule="auto"/>
        <w:jc w:val="both"/>
      </w:pPr>
      <w:r>
        <w:t>Tax Affecting (Why relevant for operating entities)</w:t>
      </w:r>
    </w:p>
    <w:p w:rsidR="00A80281" w:rsidRDefault="00A80281" w:rsidP="00D2151D">
      <w:pPr>
        <w:pStyle w:val="ListParagraph"/>
        <w:spacing w:after="0" w:line="240" w:lineRule="auto"/>
        <w:ind w:left="1440"/>
        <w:jc w:val="both"/>
      </w:pPr>
    </w:p>
    <w:p w:rsidR="00A80281" w:rsidRDefault="00A80281" w:rsidP="00D2151D">
      <w:pPr>
        <w:pStyle w:val="ListParagraph"/>
        <w:numPr>
          <w:ilvl w:val="0"/>
          <w:numId w:val="1"/>
        </w:numPr>
        <w:spacing w:after="0" w:line="240" w:lineRule="auto"/>
        <w:jc w:val="both"/>
      </w:pPr>
      <w:r>
        <w:t>Estate of Turner (John Kotlarczyk )</w:t>
      </w:r>
    </w:p>
    <w:p w:rsidR="00A80281" w:rsidRDefault="00A80281" w:rsidP="00D2151D">
      <w:pPr>
        <w:pStyle w:val="ListParagraph"/>
        <w:numPr>
          <w:ilvl w:val="0"/>
          <w:numId w:val="8"/>
        </w:numPr>
        <w:spacing w:after="0" w:line="240" w:lineRule="auto"/>
        <w:jc w:val="both"/>
      </w:pPr>
      <w:r>
        <w:t>Valuation Issues and Holding</w:t>
      </w:r>
    </w:p>
    <w:p w:rsidR="00A80281" w:rsidRDefault="00A80281" w:rsidP="00D2151D">
      <w:pPr>
        <w:pStyle w:val="ListParagraph"/>
        <w:numPr>
          <w:ilvl w:val="0"/>
          <w:numId w:val="8"/>
        </w:numPr>
        <w:spacing w:after="0" w:line="240" w:lineRule="auto"/>
        <w:jc w:val="both"/>
      </w:pPr>
      <w:r>
        <w:t>Chapter 14 Special Valuation Rules and Retained Interest</w:t>
      </w:r>
    </w:p>
    <w:p w:rsidR="00A80281" w:rsidRDefault="00A80281" w:rsidP="00D2151D">
      <w:pPr>
        <w:pStyle w:val="ListParagraph"/>
        <w:numPr>
          <w:ilvl w:val="0"/>
          <w:numId w:val="8"/>
        </w:numPr>
        <w:spacing w:after="0" w:line="240" w:lineRule="auto"/>
        <w:jc w:val="both"/>
      </w:pPr>
      <w:r>
        <w:t>Nontax Business Purpose (Estate of Bongard)</w:t>
      </w:r>
    </w:p>
    <w:p w:rsidR="00A80281" w:rsidRDefault="00A80281" w:rsidP="00D2151D">
      <w:pPr>
        <w:pStyle w:val="ListParagraph"/>
        <w:numPr>
          <w:ilvl w:val="0"/>
          <w:numId w:val="8"/>
        </w:numPr>
        <w:spacing w:after="0" w:line="240" w:lineRule="auto"/>
        <w:jc w:val="both"/>
      </w:pPr>
      <w:r>
        <w:t>Testamentary Intent</w:t>
      </w:r>
    </w:p>
    <w:p w:rsidR="00A80281" w:rsidRDefault="00A80281" w:rsidP="000026C5">
      <w:pPr>
        <w:pStyle w:val="ListParagraph"/>
        <w:spacing w:after="0" w:line="240" w:lineRule="auto"/>
        <w:ind w:left="1440"/>
        <w:jc w:val="both"/>
      </w:pPr>
    </w:p>
    <w:p w:rsidR="00A80281" w:rsidRDefault="00A80281" w:rsidP="000026C5">
      <w:pPr>
        <w:pStyle w:val="ListParagraph"/>
        <w:numPr>
          <w:ilvl w:val="0"/>
          <w:numId w:val="1"/>
        </w:numPr>
        <w:spacing w:after="0" w:line="240" w:lineRule="auto"/>
        <w:jc w:val="both"/>
      </w:pPr>
      <w:r>
        <w:t>Successful FLP Nontax Business Purposes (Brad Minor)</w:t>
      </w:r>
    </w:p>
    <w:p w:rsidR="00A80281" w:rsidRDefault="00A80281" w:rsidP="000026C5">
      <w:pPr>
        <w:pStyle w:val="ListParagraph"/>
        <w:numPr>
          <w:ilvl w:val="0"/>
          <w:numId w:val="9"/>
        </w:numPr>
        <w:spacing w:after="0" w:line="240" w:lineRule="auto"/>
        <w:jc w:val="both"/>
      </w:pPr>
      <w:r>
        <w:t>Estate of Black, Mirowski, Kimball and Schutt</w:t>
      </w:r>
    </w:p>
    <w:p w:rsidR="00A80281" w:rsidRDefault="00A80281" w:rsidP="000026C5">
      <w:pPr>
        <w:pStyle w:val="ListParagraph"/>
        <w:numPr>
          <w:ilvl w:val="0"/>
          <w:numId w:val="9"/>
        </w:numPr>
        <w:spacing w:after="0" w:line="240" w:lineRule="auto"/>
        <w:jc w:val="both"/>
      </w:pPr>
      <w:r>
        <w:t>Why their nontax Business Purposes were compelling</w:t>
      </w:r>
    </w:p>
    <w:p w:rsidR="00A80281" w:rsidRDefault="00A80281" w:rsidP="000026C5">
      <w:pPr>
        <w:pStyle w:val="ListParagraph"/>
        <w:numPr>
          <w:ilvl w:val="0"/>
          <w:numId w:val="9"/>
        </w:numPr>
        <w:spacing w:after="0" w:line="240" w:lineRule="auto"/>
        <w:jc w:val="both"/>
      </w:pPr>
      <w:r>
        <w:t>United States v. Richey</w:t>
      </w:r>
    </w:p>
    <w:p w:rsidR="00A80281" w:rsidRDefault="00A80281" w:rsidP="000026C5">
      <w:pPr>
        <w:pStyle w:val="ListParagraph"/>
        <w:numPr>
          <w:ilvl w:val="0"/>
          <w:numId w:val="9"/>
        </w:numPr>
        <w:spacing w:after="0" w:line="240" w:lineRule="auto"/>
        <w:jc w:val="both"/>
      </w:pPr>
      <w:r>
        <w:t>Why Appraisal Work File Not Protected</w:t>
      </w:r>
    </w:p>
    <w:p w:rsidR="00A80281" w:rsidRDefault="00A80281" w:rsidP="003B27E7">
      <w:pPr>
        <w:pStyle w:val="ListParagraph"/>
        <w:spacing w:after="0" w:line="240" w:lineRule="auto"/>
        <w:ind w:left="1440"/>
        <w:jc w:val="both"/>
      </w:pPr>
    </w:p>
    <w:p w:rsidR="00A80281" w:rsidRDefault="00A80281" w:rsidP="003B27E7">
      <w:pPr>
        <w:pStyle w:val="ListParagraph"/>
        <w:numPr>
          <w:ilvl w:val="0"/>
          <w:numId w:val="1"/>
        </w:numPr>
        <w:spacing w:after="0" w:line="240" w:lineRule="auto"/>
        <w:jc w:val="both"/>
      </w:pPr>
      <w:r>
        <w:t>Case Study (David Maschino)</w:t>
      </w:r>
    </w:p>
    <w:p w:rsidR="00A80281" w:rsidRDefault="00A80281" w:rsidP="003B27E7">
      <w:pPr>
        <w:pStyle w:val="ListParagraph"/>
        <w:spacing w:after="0" w:line="240" w:lineRule="auto"/>
        <w:jc w:val="both"/>
      </w:pPr>
    </w:p>
    <w:p w:rsidR="00A80281" w:rsidRDefault="00A80281" w:rsidP="003B27E7">
      <w:pPr>
        <w:pStyle w:val="ListParagraph"/>
        <w:numPr>
          <w:ilvl w:val="0"/>
          <w:numId w:val="1"/>
        </w:numPr>
        <w:spacing w:after="0" w:line="240" w:lineRule="auto"/>
        <w:jc w:val="both"/>
      </w:pPr>
      <w:r>
        <w:t>Valuation Planning Considerations (Brad Minor, John Kotlarczyk, David Maschino)</w:t>
      </w:r>
    </w:p>
    <w:p w:rsidR="00A80281" w:rsidRDefault="00A80281" w:rsidP="003B27E7">
      <w:pPr>
        <w:pStyle w:val="ListParagraph"/>
      </w:pPr>
    </w:p>
    <w:p w:rsidR="00A80281" w:rsidRDefault="00A80281" w:rsidP="003B27E7">
      <w:pPr>
        <w:pStyle w:val="ListParagraph"/>
        <w:numPr>
          <w:ilvl w:val="0"/>
          <w:numId w:val="1"/>
        </w:numPr>
        <w:spacing w:after="0" w:line="240" w:lineRule="auto"/>
        <w:jc w:val="both"/>
      </w:pPr>
      <w:r>
        <w:t>Case and Common Law Summary (Kristine Bouaichi)</w:t>
      </w:r>
    </w:p>
    <w:p w:rsidR="00A80281" w:rsidRDefault="00A80281" w:rsidP="003B27E7">
      <w:pPr>
        <w:pStyle w:val="ListParagraph"/>
      </w:pPr>
    </w:p>
    <w:p w:rsidR="00A80281" w:rsidRDefault="00A80281" w:rsidP="003B27E7">
      <w:pPr>
        <w:pStyle w:val="ListParagraph"/>
        <w:numPr>
          <w:ilvl w:val="0"/>
          <w:numId w:val="1"/>
        </w:numPr>
        <w:spacing w:after="0" w:line="240" w:lineRule="auto"/>
        <w:jc w:val="both"/>
      </w:pPr>
      <w:r>
        <w:t>Planning Consideration  for The Estate Planner (Kristine Bouaichi)</w:t>
      </w:r>
    </w:p>
    <w:sectPr w:rsidR="00A80281" w:rsidSect="003701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959"/>
    <w:multiLevelType w:val="hybridMultilevel"/>
    <w:tmpl w:val="7DDE4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67653B"/>
    <w:multiLevelType w:val="hybridMultilevel"/>
    <w:tmpl w:val="8758C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9E3461"/>
    <w:multiLevelType w:val="hybridMultilevel"/>
    <w:tmpl w:val="05CE2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103CCF"/>
    <w:multiLevelType w:val="hybridMultilevel"/>
    <w:tmpl w:val="1DC21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500E31"/>
    <w:multiLevelType w:val="hybridMultilevel"/>
    <w:tmpl w:val="19FAF12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F9C646C"/>
    <w:multiLevelType w:val="hybridMultilevel"/>
    <w:tmpl w:val="7AF0E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DF661E"/>
    <w:multiLevelType w:val="hybridMultilevel"/>
    <w:tmpl w:val="CB284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5605F0A"/>
    <w:multiLevelType w:val="hybridMultilevel"/>
    <w:tmpl w:val="88E2D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EC135BB"/>
    <w:multiLevelType w:val="hybridMultilevel"/>
    <w:tmpl w:val="26E44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7"/>
  </w:num>
  <w:num w:numId="6">
    <w:abstractNumId w:val="5"/>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546"/>
    <w:rsid w:val="000026C5"/>
    <w:rsid w:val="00142B6B"/>
    <w:rsid w:val="001E5431"/>
    <w:rsid w:val="00222546"/>
    <w:rsid w:val="003701E4"/>
    <w:rsid w:val="003B27E7"/>
    <w:rsid w:val="004450D1"/>
    <w:rsid w:val="00831669"/>
    <w:rsid w:val="008F5473"/>
    <w:rsid w:val="00A80281"/>
    <w:rsid w:val="00D04115"/>
    <w:rsid w:val="00D215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1E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25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240</Words>
  <Characters>1370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Outline</dc:title>
  <dc:subject/>
  <dc:creator> </dc:creator>
  <cp:keywords/>
  <dc:description/>
  <cp:lastModifiedBy>Kathleen McConnahey</cp:lastModifiedBy>
  <cp:revision>2</cp:revision>
  <cp:lastPrinted>2011-12-02T16:22:00Z</cp:lastPrinted>
  <dcterms:created xsi:type="dcterms:W3CDTF">2011-12-06T16:33:00Z</dcterms:created>
  <dcterms:modified xsi:type="dcterms:W3CDTF">2011-12-06T16:33:00Z</dcterms:modified>
</cp:coreProperties>
</file>